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65A" w:rsidRDefault="0068765A" w:rsidP="0068765A">
      <w:pPr>
        <w:pStyle w:val="Default"/>
        <w:rPr>
          <w:b/>
          <w:bCs/>
          <w:sz w:val="22"/>
          <w:szCs w:val="22"/>
        </w:rPr>
      </w:pPr>
    </w:p>
    <w:p w:rsidR="00035162" w:rsidRDefault="00035162" w:rsidP="00035162">
      <w:pPr>
        <w:pStyle w:val="Default"/>
        <w:jc w:val="center"/>
        <w:rPr>
          <w:b/>
          <w:bCs/>
          <w:sz w:val="22"/>
          <w:szCs w:val="22"/>
        </w:rPr>
      </w:pPr>
      <w:r>
        <w:rPr>
          <w:b/>
          <w:bCs/>
          <w:sz w:val="22"/>
          <w:szCs w:val="22"/>
        </w:rPr>
        <w:t>FORM 24</w:t>
      </w:r>
    </w:p>
    <w:p w:rsidR="00035162" w:rsidRDefault="00035162" w:rsidP="00035162">
      <w:pPr>
        <w:pStyle w:val="Default"/>
        <w:jc w:val="center"/>
        <w:rPr>
          <w:b/>
          <w:bCs/>
          <w:sz w:val="22"/>
          <w:szCs w:val="22"/>
        </w:rPr>
      </w:pPr>
    </w:p>
    <w:p w:rsidR="0068765A" w:rsidRDefault="00035162" w:rsidP="00035162">
      <w:pPr>
        <w:pStyle w:val="Default"/>
        <w:jc w:val="center"/>
        <w:rPr>
          <w:b/>
          <w:bCs/>
          <w:sz w:val="22"/>
          <w:szCs w:val="22"/>
        </w:rPr>
      </w:pPr>
      <w:r>
        <w:rPr>
          <w:b/>
          <w:bCs/>
          <w:sz w:val="22"/>
          <w:szCs w:val="22"/>
        </w:rPr>
        <w:t>CERTIFICATE FOR ACTUARY</w:t>
      </w:r>
    </w:p>
    <w:p w:rsidR="00035162" w:rsidRDefault="00035162" w:rsidP="00035162">
      <w:pPr>
        <w:pStyle w:val="Default"/>
        <w:jc w:val="center"/>
        <w:rPr>
          <w:b/>
          <w:bCs/>
          <w:sz w:val="22"/>
          <w:szCs w:val="22"/>
        </w:rPr>
      </w:pPr>
    </w:p>
    <w:p w:rsidR="00035162" w:rsidRPr="00360BC6" w:rsidRDefault="00B16DFF" w:rsidP="00035162">
      <w:pPr>
        <w:pStyle w:val="Default"/>
        <w:jc w:val="center"/>
        <w:rPr>
          <w:bCs/>
        </w:rPr>
      </w:pPr>
      <w:r w:rsidRPr="00360BC6">
        <w:rPr>
          <w:bCs/>
        </w:rPr>
        <w:t>(section 62 of the Insurance Act, 2005)</w:t>
      </w:r>
    </w:p>
    <w:p w:rsidR="00B16DFF" w:rsidRPr="00360BC6" w:rsidRDefault="00B16DFF" w:rsidP="00035162">
      <w:pPr>
        <w:pStyle w:val="Default"/>
        <w:jc w:val="center"/>
        <w:rPr>
          <w:b/>
          <w:bCs/>
        </w:rPr>
      </w:pPr>
    </w:p>
    <w:p w:rsidR="00B16DFF" w:rsidRPr="00360BC6" w:rsidRDefault="00B16DFF" w:rsidP="00360BC6">
      <w:pPr>
        <w:pStyle w:val="Default"/>
        <w:jc w:val="both"/>
        <w:rPr>
          <w:b/>
          <w:bCs/>
        </w:rPr>
      </w:pPr>
      <w:r w:rsidRPr="00360BC6">
        <w:rPr>
          <w:bCs/>
        </w:rPr>
        <w:t xml:space="preserve">This Certificate is prepared in accordance with the provisions of the </w:t>
      </w:r>
      <w:r w:rsidR="00360BC6">
        <w:rPr>
          <w:bCs/>
        </w:rPr>
        <w:br/>
      </w:r>
      <w:r w:rsidRPr="00360BC6">
        <w:rPr>
          <w:bCs/>
        </w:rPr>
        <w:t>Insurance Act, 2005 in respect of the lif</w:t>
      </w:r>
      <w:r w:rsidR="00C33F50">
        <w:rPr>
          <w:bCs/>
        </w:rPr>
        <w:t xml:space="preserve">e and health insurance business </w:t>
      </w:r>
      <w:permStart w:id="0" w:edGrp="everyone"/>
      <w:permEnd w:id="0"/>
      <w:r w:rsidRPr="00360BC6">
        <w:rPr>
          <w:bCs/>
        </w:rPr>
        <w:t xml:space="preserve">of </w:t>
      </w:r>
      <w:r w:rsidRPr="00360BC6">
        <w:rPr>
          <w:bCs/>
        </w:rPr>
        <w:br/>
      </w:r>
      <w:r w:rsidRPr="00360BC6">
        <w:rPr>
          <w:b/>
          <w:bCs/>
        </w:rPr>
        <w:t>..............................................................................................................................</w:t>
      </w:r>
      <w:r w:rsidR="00360BC6">
        <w:rPr>
          <w:b/>
          <w:bCs/>
        </w:rPr>
        <w:t>..............................</w:t>
      </w:r>
    </w:p>
    <w:p w:rsidR="00035162" w:rsidRPr="00360BC6" w:rsidRDefault="00035162" w:rsidP="00035162">
      <w:pPr>
        <w:pStyle w:val="Default"/>
        <w:jc w:val="center"/>
        <w:rPr>
          <w:b/>
          <w:bCs/>
        </w:rPr>
      </w:pPr>
    </w:p>
    <w:p w:rsidR="00035162" w:rsidRPr="00360BC6" w:rsidRDefault="005763A9" w:rsidP="00035162">
      <w:pPr>
        <w:pStyle w:val="Default"/>
        <w:jc w:val="center"/>
        <w:rPr>
          <w:b/>
          <w:bCs/>
        </w:rPr>
      </w:pPr>
      <w:r w:rsidRPr="00360BC6">
        <w:rPr>
          <w:b/>
          <w:bCs/>
        </w:rPr>
        <w:t>(</w:t>
      </w:r>
      <w:permStart w:id="1" w:edGrp="everyone"/>
      <w:r w:rsidRPr="00360BC6">
        <w:rPr>
          <w:b/>
          <w:bCs/>
        </w:rPr>
        <w:t>Company’s name</w:t>
      </w:r>
      <w:permEnd w:id="1"/>
      <w:r w:rsidRPr="00360BC6">
        <w:rPr>
          <w:b/>
          <w:bCs/>
        </w:rPr>
        <w:t>)</w:t>
      </w:r>
    </w:p>
    <w:p w:rsidR="005763A9" w:rsidRPr="00360BC6" w:rsidRDefault="005763A9" w:rsidP="00035162">
      <w:pPr>
        <w:pStyle w:val="Default"/>
        <w:jc w:val="center"/>
        <w:rPr>
          <w:b/>
          <w:bCs/>
        </w:rPr>
      </w:pPr>
    </w:p>
    <w:p w:rsidR="005763A9" w:rsidRPr="00360BC6" w:rsidRDefault="005763A9" w:rsidP="00035162">
      <w:pPr>
        <w:pStyle w:val="Default"/>
        <w:jc w:val="center"/>
        <w:rPr>
          <w:b/>
          <w:bCs/>
        </w:rPr>
      </w:pPr>
    </w:p>
    <w:p w:rsidR="005763A9" w:rsidRPr="00360BC6" w:rsidRDefault="005763A9" w:rsidP="00360BC6">
      <w:pPr>
        <w:pStyle w:val="Default"/>
        <w:ind w:firstLine="720"/>
        <w:jc w:val="both"/>
        <w:rPr>
          <w:bCs/>
        </w:rPr>
      </w:pPr>
      <w:r w:rsidRPr="00360BC6">
        <w:rPr>
          <w:bCs/>
        </w:rPr>
        <w:t xml:space="preserve">I have examined the financial position, and valued the policy liabilities </w:t>
      </w:r>
      <w:r w:rsidR="00360BC6" w:rsidRPr="00360BC6">
        <w:rPr>
          <w:bCs/>
        </w:rPr>
        <w:br/>
      </w:r>
      <w:r w:rsidRPr="00360BC6">
        <w:rPr>
          <w:bCs/>
        </w:rPr>
        <w:t xml:space="preserve">for its balance sheet as at </w:t>
      </w:r>
      <w:permStart w:id="2" w:edGrp="everyone"/>
      <w:r w:rsidRPr="00360BC6">
        <w:rPr>
          <w:bCs/>
        </w:rPr>
        <w:t>......................................................</w:t>
      </w:r>
      <w:permEnd w:id="2"/>
      <w:r w:rsidRPr="00360BC6">
        <w:rPr>
          <w:bCs/>
        </w:rPr>
        <w:t xml:space="preserve"> (date), and the corresponding change </w:t>
      </w:r>
      <w:r w:rsidR="00360BC6" w:rsidRPr="00360BC6">
        <w:rPr>
          <w:bCs/>
        </w:rPr>
        <w:br/>
      </w:r>
      <w:r w:rsidRPr="00360BC6">
        <w:rPr>
          <w:bCs/>
        </w:rPr>
        <w:t xml:space="preserve">in the policy liabilities in the income statement for the year then ended. </w:t>
      </w:r>
    </w:p>
    <w:p w:rsidR="005763A9" w:rsidRPr="00360BC6" w:rsidRDefault="005763A9" w:rsidP="005763A9">
      <w:pPr>
        <w:pStyle w:val="Default"/>
        <w:rPr>
          <w:bCs/>
        </w:rPr>
      </w:pPr>
    </w:p>
    <w:p w:rsidR="005763A9" w:rsidRPr="00360BC6" w:rsidRDefault="005763A9" w:rsidP="005763A9">
      <w:pPr>
        <w:pStyle w:val="Default"/>
        <w:rPr>
          <w:bCs/>
        </w:rPr>
      </w:pPr>
    </w:p>
    <w:p w:rsidR="005763A9" w:rsidRPr="00360BC6" w:rsidRDefault="005763A9" w:rsidP="005763A9">
      <w:pPr>
        <w:pStyle w:val="Default"/>
        <w:rPr>
          <w:bCs/>
        </w:rPr>
      </w:pPr>
      <w:r w:rsidRPr="00360BC6">
        <w:rPr>
          <w:bCs/>
        </w:rPr>
        <w:t>In my opinion:</w:t>
      </w:r>
      <w:r w:rsidRPr="00360BC6">
        <w:rPr>
          <w:bCs/>
        </w:rPr>
        <w:br/>
      </w:r>
    </w:p>
    <w:p w:rsidR="005763A9" w:rsidRPr="00360BC6" w:rsidRDefault="005763A9" w:rsidP="00AD7F07">
      <w:pPr>
        <w:pStyle w:val="Default"/>
        <w:numPr>
          <w:ilvl w:val="0"/>
          <w:numId w:val="6"/>
        </w:numPr>
        <w:ind w:hanging="720"/>
        <w:jc w:val="both"/>
        <w:rPr>
          <w:bCs/>
        </w:rPr>
      </w:pPr>
      <w:r w:rsidRPr="00360BC6">
        <w:rPr>
          <w:bCs/>
        </w:rPr>
        <w:t>The methods and procedures used in the verification of the valuation data</w:t>
      </w:r>
      <w:r w:rsidR="00360BC6" w:rsidRPr="00360BC6">
        <w:rPr>
          <w:bCs/>
        </w:rPr>
        <w:br/>
      </w:r>
      <w:r w:rsidRPr="00360BC6">
        <w:rPr>
          <w:bCs/>
        </w:rPr>
        <w:t xml:space="preserve"> are sufficient and reliable, and fulfil the required standards of care.</w:t>
      </w:r>
      <w:r w:rsidRPr="00360BC6">
        <w:rPr>
          <w:bCs/>
        </w:rPr>
        <w:br/>
      </w:r>
    </w:p>
    <w:p w:rsidR="005763A9" w:rsidRPr="00360BC6" w:rsidRDefault="005763A9" w:rsidP="00360BC6">
      <w:pPr>
        <w:pStyle w:val="Default"/>
        <w:numPr>
          <w:ilvl w:val="0"/>
          <w:numId w:val="6"/>
        </w:numPr>
        <w:ind w:hanging="720"/>
        <w:jc w:val="both"/>
        <w:rPr>
          <w:bCs/>
        </w:rPr>
      </w:pPr>
      <w:r w:rsidRPr="00360BC6">
        <w:rPr>
          <w:bCs/>
        </w:rPr>
        <w:t xml:space="preserve">The methods and assumptions used to calculate the actuarial and the other </w:t>
      </w:r>
      <w:r w:rsidR="00360BC6" w:rsidRPr="00360BC6">
        <w:rPr>
          <w:bCs/>
        </w:rPr>
        <w:br/>
      </w:r>
      <w:r w:rsidRPr="00360BC6">
        <w:rPr>
          <w:bCs/>
        </w:rPr>
        <w:t>policy liabilities are appropriate to the circumstances of the company</w:t>
      </w:r>
      <w:r w:rsidR="00360BC6" w:rsidRPr="00360BC6">
        <w:rPr>
          <w:bCs/>
        </w:rPr>
        <w:t xml:space="preserve"> and</w:t>
      </w:r>
      <w:r w:rsidRPr="00360BC6">
        <w:rPr>
          <w:bCs/>
        </w:rPr>
        <w:t xml:space="preserve"> of the said policies</w:t>
      </w:r>
      <w:permStart w:id="3" w:edGrp="everyone"/>
      <w:r w:rsidRPr="00360BC6">
        <w:rPr>
          <w:bCs/>
        </w:rPr>
        <w:t xml:space="preserve"> </w:t>
      </w:r>
      <w:permEnd w:id="3"/>
      <w:r w:rsidRPr="00360BC6">
        <w:rPr>
          <w:bCs/>
        </w:rPr>
        <w:t>and</w:t>
      </w:r>
      <w:permStart w:id="4" w:edGrp="everyone"/>
      <w:r w:rsidRPr="00360BC6">
        <w:rPr>
          <w:bCs/>
        </w:rPr>
        <w:t xml:space="preserve"> </w:t>
      </w:r>
      <w:permEnd w:id="4"/>
      <w:r w:rsidRPr="00360BC6">
        <w:rPr>
          <w:bCs/>
        </w:rPr>
        <w:t>claims.</w:t>
      </w:r>
      <w:r w:rsidRPr="00360BC6">
        <w:rPr>
          <w:bCs/>
        </w:rPr>
        <w:br/>
      </w:r>
    </w:p>
    <w:p w:rsidR="005763A9" w:rsidRPr="00360BC6" w:rsidRDefault="005763A9" w:rsidP="00AD7F07">
      <w:pPr>
        <w:pStyle w:val="Default"/>
        <w:ind w:left="720" w:hanging="720"/>
        <w:jc w:val="both"/>
        <w:rPr>
          <w:bCs/>
        </w:rPr>
      </w:pPr>
      <w:r w:rsidRPr="00360BC6">
        <w:rPr>
          <w:bCs/>
        </w:rPr>
        <w:t>3.</w:t>
      </w:r>
      <w:r w:rsidRPr="00360BC6">
        <w:rPr>
          <w:bCs/>
        </w:rPr>
        <w:tab/>
        <w:t xml:space="preserve">The valuation </w:t>
      </w:r>
      <w:r w:rsidR="00AD7F07" w:rsidRPr="00360BC6">
        <w:rPr>
          <w:bCs/>
        </w:rPr>
        <w:t>of</w:t>
      </w:r>
      <w:r w:rsidRPr="00360BC6">
        <w:rPr>
          <w:bCs/>
        </w:rPr>
        <w:t xml:space="preserve"> actuarial and other policy</w:t>
      </w:r>
      <w:r w:rsidR="00AD7F07" w:rsidRPr="00360BC6">
        <w:rPr>
          <w:bCs/>
        </w:rPr>
        <w:t xml:space="preserve"> liabilities has been made in accordance with generally accepted actuarial practice (with such changes as determined and any directions made</w:t>
      </w:r>
      <w:permStart w:id="5" w:edGrp="everyone"/>
      <w:r w:rsidR="00AD7F07" w:rsidRPr="00360BC6">
        <w:rPr>
          <w:bCs/>
        </w:rPr>
        <w:t xml:space="preserve"> </w:t>
      </w:r>
      <w:permEnd w:id="5"/>
      <w:r w:rsidR="00AD7F07" w:rsidRPr="00360BC6">
        <w:rPr>
          <w:bCs/>
        </w:rPr>
        <w:t>by</w:t>
      </w:r>
      <w:permStart w:id="6" w:edGrp="everyone"/>
      <w:r w:rsidR="00AD7F07" w:rsidRPr="00360BC6">
        <w:rPr>
          <w:bCs/>
        </w:rPr>
        <w:t xml:space="preserve"> </w:t>
      </w:r>
      <w:permEnd w:id="6"/>
      <w:r w:rsidR="00AD7F07" w:rsidRPr="00360BC6">
        <w:rPr>
          <w:bCs/>
        </w:rPr>
        <w:t>the</w:t>
      </w:r>
      <w:permStart w:id="7" w:edGrp="everyone"/>
      <w:r w:rsidR="00AD7F07" w:rsidRPr="00360BC6">
        <w:rPr>
          <w:bCs/>
        </w:rPr>
        <w:t xml:space="preserve"> </w:t>
      </w:r>
      <w:permEnd w:id="7"/>
      <w:r w:rsidR="00AD7F07" w:rsidRPr="00360BC6">
        <w:rPr>
          <w:bCs/>
        </w:rPr>
        <w:t>Commission).</w:t>
      </w:r>
      <w:r w:rsidR="00AD7F07" w:rsidRPr="00360BC6">
        <w:rPr>
          <w:bCs/>
        </w:rPr>
        <w:br/>
      </w:r>
    </w:p>
    <w:p w:rsidR="00AD7F07" w:rsidRPr="00360BC6" w:rsidRDefault="00AD7F07" w:rsidP="00AD7F07">
      <w:pPr>
        <w:pStyle w:val="Default"/>
        <w:ind w:left="720" w:hanging="720"/>
        <w:jc w:val="both"/>
        <w:rPr>
          <w:bCs/>
        </w:rPr>
      </w:pPr>
      <w:r w:rsidRPr="00360BC6">
        <w:rPr>
          <w:bCs/>
        </w:rPr>
        <w:t xml:space="preserve">4. </w:t>
      </w:r>
      <w:r w:rsidRPr="00360BC6">
        <w:rPr>
          <w:bCs/>
        </w:rPr>
        <w:tab/>
        <w:t>The valuation is appropriate under the circumstances of the company and the financial statements fairly reflect its results.</w:t>
      </w:r>
    </w:p>
    <w:p w:rsidR="005763A9" w:rsidRPr="00360BC6" w:rsidRDefault="005763A9" w:rsidP="005763A9">
      <w:pPr>
        <w:pStyle w:val="Default"/>
        <w:rPr>
          <w:bCs/>
        </w:rPr>
      </w:pPr>
    </w:p>
    <w:p w:rsidR="00AD7F07" w:rsidRPr="00360BC6" w:rsidRDefault="00AD7F07" w:rsidP="00360BC6">
      <w:pPr>
        <w:pStyle w:val="Default"/>
        <w:ind w:left="720" w:hanging="720"/>
        <w:jc w:val="both"/>
        <w:rPr>
          <w:bCs/>
        </w:rPr>
      </w:pPr>
      <w:r w:rsidRPr="00360BC6">
        <w:rPr>
          <w:bCs/>
        </w:rPr>
        <w:t xml:space="preserve">5. </w:t>
      </w:r>
      <w:r w:rsidRPr="00360BC6">
        <w:rPr>
          <w:bCs/>
        </w:rPr>
        <w:tab/>
        <w:t>Having regard for the results of the investigation performed pursuant to section 62 of the Insurance Act, 2005 the value of actuarial and other policy liabilities, when taken together with the total capital available makes good and sufficient provisions for all unmatured obligations under the terms of the policies in force.</w:t>
      </w:r>
    </w:p>
    <w:p w:rsidR="00AD7F07" w:rsidRDefault="00AD7F07" w:rsidP="00AD7F07">
      <w:pPr>
        <w:pStyle w:val="Default"/>
        <w:ind w:left="720" w:hanging="720"/>
        <w:rPr>
          <w:bCs/>
          <w:sz w:val="22"/>
          <w:szCs w:val="22"/>
        </w:rPr>
      </w:pPr>
    </w:p>
    <w:p w:rsidR="00AD7F07" w:rsidRDefault="00AD7F07" w:rsidP="00AD7F07">
      <w:pPr>
        <w:pStyle w:val="Default"/>
        <w:ind w:left="720" w:hanging="720"/>
        <w:rPr>
          <w:bCs/>
          <w:sz w:val="22"/>
          <w:szCs w:val="22"/>
        </w:rPr>
      </w:pPr>
    </w:p>
    <w:p w:rsidR="00AD7F07" w:rsidRDefault="00AD7F07" w:rsidP="00AD7F07">
      <w:pPr>
        <w:pStyle w:val="Default"/>
        <w:ind w:left="720" w:hanging="72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ACTUARY</w:t>
      </w:r>
      <w:permStart w:id="8" w:edGrp="everyone"/>
      <w:r>
        <w:rPr>
          <w:bCs/>
          <w:sz w:val="22"/>
          <w:szCs w:val="22"/>
        </w:rPr>
        <w:t>.......................................................</w:t>
      </w:r>
      <w:permEnd w:id="8"/>
      <w:r>
        <w:rPr>
          <w:bCs/>
          <w:sz w:val="22"/>
          <w:szCs w:val="22"/>
        </w:rPr>
        <w:br/>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360BC6">
        <w:rPr>
          <w:bCs/>
          <w:sz w:val="22"/>
          <w:szCs w:val="22"/>
        </w:rPr>
        <w:t>NAME</w:t>
      </w:r>
      <w:permStart w:id="9" w:edGrp="everyone"/>
      <w:r w:rsidR="00360BC6">
        <w:rPr>
          <w:bCs/>
          <w:sz w:val="22"/>
          <w:szCs w:val="22"/>
        </w:rPr>
        <w:t>..............................................................</w:t>
      </w:r>
      <w:permEnd w:id="9"/>
    </w:p>
    <w:p w:rsidR="00360BC6" w:rsidRDefault="00360BC6" w:rsidP="00AD7F07">
      <w:pPr>
        <w:pStyle w:val="Default"/>
        <w:ind w:left="720" w:hanging="72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QUALIFICATIONS</w:t>
      </w:r>
      <w:permStart w:id="10" w:edGrp="everyone"/>
      <w:r>
        <w:rPr>
          <w:bCs/>
          <w:sz w:val="22"/>
          <w:szCs w:val="22"/>
        </w:rPr>
        <w:t>........................................</w:t>
      </w:r>
      <w:permEnd w:id="10"/>
    </w:p>
    <w:p w:rsidR="00360BC6" w:rsidRPr="005763A9" w:rsidRDefault="00C33F50" w:rsidP="00360BC6">
      <w:pPr>
        <w:pStyle w:val="Defaul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DATE</w:t>
      </w:r>
      <w:permStart w:id="11" w:edGrp="everyone"/>
      <w:r>
        <w:rPr>
          <w:bCs/>
          <w:sz w:val="22"/>
          <w:szCs w:val="22"/>
        </w:rPr>
        <w:t>………………………………………...</w:t>
      </w:r>
      <w:permEnd w:id="11"/>
    </w:p>
    <w:sectPr w:rsidR="00360BC6" w:rsidRPr="005763A9" w:rsidSect="00360BC6">
      <w:headerReference w:type="default" r:id="rId8"/>
      <w:footerReference w:type="default" r:id="rId9"/>
      <w:pgSz w:w="12240" w:h="15840"/>
      <w:pgMar w:top="270" w:right="1440" w:bottom="135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182" w:rsidRDefault="00B43182" w:rsidP="0068765A">
      <w:pPr>
        <w:spacing w:after="0" w:line="240" w:lineRule="auto"/>
      </w:pPr>
      <w:r>
        <w:separator/>
      </w:r>
    </w:p>
  </w:endnote>
  <w:endnote w:type="continuationSeparator" w:id="0">
    <w:p w:rsidR="00B43182" w:rsidRDefault="00B43182" w:rsidP="00687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4710"/>
      <w:docPartObj>
        <w:docPartGallery w:val="Page Numbers (Bottom of Page)"/>
        <w:docPartUnique/>
      </w:docPartObj>
    </w:sdtPr>
    <w:sdtEndPr>
      <w:rPr>
        <w:color w:val="7F7F7F" w:themeColor="background1" w:themeShade="7F"/>
        <w:spacing w:val="60"/>
        <w:sz w:val="18"/>
        <w:szCs w:val="18"/>
      </w:rPr>
    </w:sdtEndPr>
    <w:sdtContent>
      <w:p w:rsidR="00AD7F07" w:rsidRPr="002F301A" w:rsidRDefault="00AD7F07">
        <w:pPr>
          <w:pStyle w:val="Footer"/>
          <w:pBdr>
            <w:top w:val="single" w:sz="4" w:space="1" w:color="D9D9D9" w:themeColor="background1" w:themeShade="D9"/>
          </w:pBdr>
          <w:jc w:val="right"/>
          <w:rPr>
            <w:sz w:val="18"/>
            <w:szCs w:val="18"/>
          </w:rPr>
        </w:pPr>
        <w:r w:rsidRPr="002F301A">
          <w:rPr>
            <w:sz w:val="18"/>
            <w:szCs w:val="18"/>
          </w:rPr>
          <w:t xml:space="preserve">| </w:t>
        </w:r>
        <w:r w:rsidRPr="002F301A">
          <w:rPr>
            <w:color w:val="7F7F7F" w:themeColor="background1" w:themeShade="7F"/>
            <w:spacing w:val="60"/>
            <w:sz w:val="18"/>
            <w:szCs w:val="18"/>
          </w:rPr>
          <w:t>Page</w:t>
        </w:r>
        <w:r w:rsidR="00360BC6">
          <w:rPr>
            <w:color w:val="7F7F7F" w:themeColor="background1" w:themeShade="7F"/>
            <w:spacing w:val="60"/>
            <w:sz w:val="18"/>
            <w:szCs w:val="18"/>
          </w:rPr>
          <w:t xml:space="preserve"> 137</w:t>
        </w:r>
      </w:p>
    </w:sdtContent>
  </w:sdt>
  <w:p w:rsidR="00AD7F07" w:rsidRDefault="00AD7F07" w:rsidP="002F301A">
    <w:pPr>
      <w:pStyle w:val="Header"/>
      <w:jc w:val="center"/>
      <w:rPr>
        <w:sz w:val="16"/>
        <w:szCs w:val="16"/>
      </w:rPr>
    </w:pPr>
    <w:r>
      <w:rPr>
        <w:sz w:val="16"/>
        <w:szCs w:val="16"/>
      </w:rPr>
      <w:t>P.O. BOX N-4844, CHARLOTTE HOUSE, SHIRLEY &amp; CHARLOTTE STREETS, NASSAU, BAHAMAS</w:t>
    </w:r>
  </w:p>
  <w:p w:rsidR="00AD7F07" w:rsidRDefault="00AD7F07" w:rsidP="002F301A">
    <w:pPr>
      <w:pStyle w:val="Footer"/>
      <w:tabs>
        <w:tab w:val="clear" w:pos="4680"/>
        <w:tab w:val="clear" w:pos="9360"/>
        <w:tab w:val="left" w:pos="2445"/>
      </w:tabs>
      <w:jc w:val="center"/>
    </w:pPr>
    <w:r>
      <w:rPr>
        <w:sz w:val="16"/>
        <w:szCs w:val="16"/>
      </w:rPr>
      <w:t xml:space="preserve">WEBSITE: </w:t>
    </w:r>
    <w:hyperlink r:id="rId1" w:history="1">
      <w:r>
        <w:rPr>
          <w:rStyle w:val="Hyperlink"/>
          <w:sz w:val="16"/>
          <w:szCs w:val="16"/>
        </w:rPr>
        <w:t>WWW.ICB.GOV.BS</w:t>
      </w:r>
    </w:hyperlink>
    <w:r>
      <w:rPr>
        <w:sz w:val="16"/>
        <w:szCs w:val="16"/>
      </w:rPr>
      <w:t>, TELE: (242) 397-4100, FAX: 1 242 328-1070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182" w:rsidRDefault="00B43182" w:rsidP="0068765A">
      <w:pPr>
        <w:spacing w:after="0" w:line="240" w:lineRule="auto"/>
      </w:pPr>
      <w:r>
        <w:separator/>
      </w:r>
    </w:p>
  </w:footnote>
  <w:footnote w:type="continuationSeparator" w:id="0">
    <w:p w:rsidR="00B43182" w:rsidRDefault="00B43182" w:rsidP="006876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07" w:rsidRDefault="00AD7F07" w:rsidP="002F301A">
    <w:pPr>
      <w:pStyle w:val="Header"/>
      <w:pBdr>
        <w:bottom w:val="single" w:sz="4" w:space="1" w:color="auto"/>
      </w:pBdr>
      <w:jc w:val="center"/>
    </w:pPr>
    <w:r w:rsidRPr="002F301A">
      <w:rPr>
        <w:b/>
        <w:noProof/>
        <w:color w:val="365F91" w:themeColor="accent1" w:themeShade="BF"/>
        <w:sz w:val="44"/>
        <w:szCs w:val="44"/>
        <w:lang w:val="en-US"/>
      </w:rPr>
      <w:drawing>
        <wp:inline distT="0" distB="0" distL="0" distR="0">
          <wp:extent cx="3928913" cy="933450"/>
          <wp:effectExtent l="19050" t="0" r="0" b="0"/>
          <wp:docPr id="2" name="Picture 1" descr="C:\Users\prolle\AppData\Local\Microsoft\Windows\Temporary Internet Files\Content.Outlook\FR3BXYRT\ICB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lle\AppData\Local\Microsoft\Windows\Temporary Internet Files\Content.Outlook\FR3BXYRT\ICB_logo_cmyk.jpg"/>
                  <pic:cNvPicPr>
                    <a:picLocks noChangeAspect="1" noChangeArrowheads="1"/>
                  </pic:cNvPicPr>
                </pic:nvPicPr>
                <pic:blipFill>
                  <a:blip r:embed="rId1"/>
                  <a:srcRect/>
                  <a:stretch>
                    <a:fillRect/>
                  </a:stretch>
                </pic:blipFill>
                <pic:spPr bwMode="auto">
                  <a:xfrm>
                    <a:off x="0" y="0"/>
                    <a:ext cx="3940641" cy="93623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C2F"/>
    <w:multiLevelType w:val="hybridMultilevel"/>
    <w:tmpl w:val="ED88FFF0"/>
    <w:lvl w:ilvl="0" w:tplc="307A24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81861"/>
    <w:multiLevelType w:val="hybridMultilevel"/>
    <w:tmpl w:val="EF2AE0B2"/>
    <w:lvl w:ilvl="0" w:tplc="7BC0DCE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7755D8"/>
    <w:multiLevelType w:val="hybridMultilevel"/>
    <w:tmpl w:val="DDC42A98"/>
    <w:lvl w:ilvl="0" w:tplc="2409000F">
      <w:start w:val="1"/>
      <w:numFmt w:val="decimal"/>
      <w:lvlText w:val="%1."/>
      <w:lvlJc w:val="left"/>
      <w:pPr>
        <w:ind w:left="360" w:hanging="360"/>
      </w:pPr>
      <w:rPr>
        <w:rFonts w:hint="default"/>
      </w:rPr>
    </w:lvl>
    <w:lvl w:ilvl="1" w:tplc="24090019" w:tentative="1">
      <w:start w:val="1"/>
      <w:numFmt w:val="lowerLetter"/>
      <w:lvlText w:val="%2."/>
      <w:lvlJc w:val="left"/>
      <w:pPr>
        <w:ind w:left="1080" w:hanging="360"/>
      </w:pPr>
    </w:lvl>
    <w:lvl w:ilvl="2" w:tplc="2409001B" w:tentative="1">
      <w:start w:val="1"/>
      <w:numFmt w:val="lowerRoman"/>
      <w:lvlText w:val="%3."/>
      <w:lvlJc w:val="right"/>
      <w:pPr>
        <w:ind w:left="1800" w:hanging="180"/>
      </w:pPr>
    </w:lvl>
    <w:lvl w:ilvl="3" w:tplc="2409000F" w:tentative="1">
      <w:start w:val="1"/>
      <w:numFmt w:val="decimal"/>
      <w:lvlText w:val="%4."/>
      <w:lvlJc w:val="left"/>
      <w:pPr>
        <w:ind w:left="2520" w:hanging="360"/>
      </w:pPr>
    </w:lvl>
    <w:lvl w:ilvl="4" w:tplc="24090019" w:tentative="1">
      <w:start w:val="1"/>
      <w:numFmt w:val="lowerLetter"/>
      <w:lvlText w:val="%5."/>
      <w:lvlJc w:val="left"/>
      <w:pPr>
        <w:ind w:left="3240" w:hanging="360"/>
      </w:pPr>
    </w:lvl>
    <w:lvl w:ilvl="5" w:tplc="2409001B" w:tentative="1">
      <w:start w:val="1"/>
      <w:numFmt w:val="lowerRoman"/>
      <w:lvlText w:val="%6."/>
      <w:lvlJc w:val="right"/>
      <w:pPr>
        <w:ind w:left="3960" w:hanging="180"/>
      </w:pPr>
    </w:lvl>
    <w:lvl w:ilvl="6" w:tplc="2409000F" w:tentative="1">
      <w:start w:val="1"/>
      <w:numFmt w:val="decimal"/>
      <w:lvlText w:val="%7."/>
      <w:lvlJc w:val="left"/>
      <w:pPr>
        <w:ind w:left="4680" w:hanging="360"/>
      </w:pPr>
    </w:lvl>
    <w:lvl w:ilvl="7" w:tplc="24090019" w:tentative="1">
      <w:start w:val="1"/>
      <w:numFmt w:val="lowerLetter"/>
      <w:lvlText w:val="%8."/>
      <w:lvlJc w:val="left"/>
      <w:pPr>
        <w:ind w:left="5400" w:hanging="360"/>
      </w:pPr>
    </w:lvl>
    <w:lvl w:ilvl="8" w:tplc="2409001B" w:tentative="1">
      <w:start w:val="1"/>
      <w:numFmt w:val="lowerRoman"/>
      <w:lvlText w:val="%9."/>
      <w:lvlJc w:val="right"/>
      <w:pPr>
        <w:ind w:left="6120" w:hanging="180"/>
      </w:pPr>
    </w:lvl>
  </w:abstractNum>
  <w:abstractNum w:abstractNumId="3">
    <w:nsid w:val="42F917EB"/>
    <w:multiLevelType w:val="hybridMultilevel"/>
    <w:tmpl w:val="49607642"/>
    <w:lvl w:ilvl="0" w:tplc="9A1A7E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B4993"/>
    <w:multiLevelType w:val="hybridMultilevel"/>
    <w:tmpl w:val="4EF691B0"/>
    <w:lvl w:ilvl="0" w:tplc="004A6112">
      <w:start w:val="8"/>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554C7AEF"/>
    <w:multiLevelType w:val="hybridMultilevel"/>
    <w:tmpl w:val="E8B86924"/>
    <w:lvl w:ilvl="0" w:tplc="AF2CC12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C309F4"/>
    <w:multiLevelType w:val="hybridMultilevel"/>
    <w:tmpl w:val="F482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100000" w:hash="dlKF52tbhTGxDuAtq9nmncddu1c=" w:salt="hc7fFs/uo9zDuubIuLdn3Q=="/>
  <w:defaultTabStop w:val="720"/>
  <w:characterSpacingControl w:val="doNotCompress"/>
  <w:hdrShapeDefaults>
    <o:shapedefaults v:ext="edit" spidmax="8194"/>
  </w:hdrShapeDefaults>
  <w:footnotePr>
    <w:footnote w:id="-1"/>
    <w:footnote w:id="0"/>
  </w:footnotePr>
  <w:endnotePr>
    <w:endnote w:id="-1"/>
    <w:endnote w:id="0"/>
  </w:endnotePr>
  <w:compat/>
  <w:rsids>
    <w:rsidRoot w:val="0068765A"/>
    <w:rsid w:val="00004B83"/>
    <w:rsid w:val="0003433C"/>
    <w:rsid w:val="00035162"/>
    <w:rsid w:val="00037CD1"/>
    <w:rsid w:val="000439B4"/>
    <w:rsid w:val="00056606"/>
    <w:rsid w:val="00070168"/>
    <w:rsid w:val="00084527"/>
    <w:rsid w:val="00093A0C"/>
    <w:rsid w:val="00093F5E"/>
    <w:rsid w:val="000A5957"/>
    <w:rsid w:val="000D1EA5"/>
    <w:rsid w:val="00107AA9"/>
    <w:rsid w:val="00114AE5"/>
    <w:rsid w:val="00125D61"/>
    <w:rsid w:val="00126B27"/>
    <w:rsid w:val="00131667"/>
    <w:rsid w:val="00140C22"/>
    <w:rsid w:val="00150214"/>
    <w:rsid w:val="00171DB6"/>
    <w:rsid w:val="00173451"/>
    <w:rsid w:val="00185DC9"/>
    <w:rsid w:val="00197AAE"/>
    <w:rsid w:val="001A4E8A"/>
    <w:rsid w:val="001A5C03"/>
    <w:rsid w:val="001B2381"/>
    <w:rsid w:val="001B4810"/>
    <w:rsid w:val="001B5D7A"/>
    <w:rsid w:val="001C0EA9"/>
    <w:rsid w:val="001C1C55"/>
    <w:rsid w:val="001D32EF"/>
    <w:rsid w:val="001E53C6"/>
    <w:rsid w:val="001F69D5"/>
    <w:rsid w:val="0021630F"/>
    <w:rsid w:val="002304BE"/>
    <w:rsid w:val="00236996"/>
    <w:rsid w:val="00266A3B"/>
    <w:rsid w:val="00271AEA"/>
    <w:rsid w:val="00295DAA"/>
    <w:rsid w:val="002B6CEF"/>
    <w:rsid w:val="002B7146"/>
    <w:rsid w:val="002D3537"/>
    <w:rsid w:val="002E1977"/>
    <w:rsid w:val="002E3EB7"/>
    <w:rsid w:val="002F301A"/>
    <w:rsid w:val="003068D8"/>
    <w:rsid w:val="0031237A"/>
    <w:rsid w:val="0031256F"/>
    <w:rsid w:val="00320131"/>
    <w:rsid w:val="00323D67"/>
    <w:rsid w:val="00340D54"/>
    <w:rsid w:val="00353434"/>
    <w:rsid w:val="003541B2"/>
    <w:rsid w:val="00355194"/>
    <w:rsid w:val="00360BC6"/>
    <w:rsid w:val="00370855"/>
    <w:rsid w:val="00370A92"/>
    <w:rsid w:val="00371996"/>
    <w:rsid w:val="00381D5A"/>
    <w:rsid w:val="003A0999"/>
    <w:rsid w:val="003A3FD2"/>
    <w:rsid w:val="003B237D"/>
    <w:rsid w:val="003D552E"/>
    <w:rsid w:val="003E23DB"/>
    <w:rsid w:val="003E341D"/>
    <w:rsid w:val="003F76D1"/>
    <w:rsid w:val="004036A3"/>
    <w:rsid w:val="00455BFA"/>
    <w:rsid w:val="004849F1"/>
    <w:rsid w:val="00486843"/>
    <w:rsid w:val="00490036"/>
    <w:rsid w:val="004963BB"/>
    <w:rsid w:val="00496AE1"/>
    <w:rsid w:val="004A3A78"/>
    <w:rsid w:val="004A7783"/>
    <w:rsid w:val="004B6FF7"/>
    <w:rsid w:val="004E0615"/>
    <w:rsid w:val="00505C05"/>
    <w:rsid w:val="00510C3C"/>
    <w:rsid w:val="00512BCB"/>
    <w:rsid w:val="005230F3"/>
    <w:rsid w:val="005235F2"/>
    <w:rsid w:val="0052538D"/>
    <w:rsid w:val="00525E32"/>
    <w:rsid w:val="005303A5"/>
    <w:rsid w:val="005437BA"/>
    <w:rsid w:val="00545D5C"/>
    <w:rsid w:val="0054708F"/>
    <w:rsid w:val="0055119D"/>
    <w:rsid w:val="0055229C"/>
    <w:rsid w:val="00576377"/>
    <w:rsid w:val="005763A9"/>
    <w:rsid w:val="00592162"/>
    <w:rsid w:val="005E1D80"/>
    <w:rsid w:val="0060408A"/>
    <w:rsid w:val="0061640B"/>
    <w:rsid w:val="00617FBA"/>
    <w:rsid w:val="00630A08"/>
    <w:rsid w:val="00655311"/>
    <w:rsid w:val="00656FBB"/>
    <w:rsid w:val="00657596"/>
    <w:rsid w:val="0066435E"/>
    <w:rsid w:val="006658C0"/>
    <w:rsid w:val="00673A97"/>
    <w:rsid w:val="0068119C"/>
    <w:rsid w:val="006825CF"/>
    <w:rsid w:val="0068765A"/>
    <w:rsid w:val="00696FE6"/>
    <w:rsid w:val="006A794D"/>
    <w:rsid w:val="006C7716"/>
    <w:rsid w:val="006D3B43"/>
    <w:rsid w:val="006D6C04"/>
    <w:rsid w:val="00700C0C"/>
    <w:rsid w:val="00702380"/>
    <w:rsid w:val="007064D5"/>
    <w:rsid w:val="00713C95"/>
    <w:rsid w:val="00717FC0"/>
    <w:rsid w:val="00725DB1"/>
    <w:rsid w:val="00750C97"/>
    <w:rsid w:val="00760F5D"/>
    <w:rsid w:val="00761A62"/>
    <w:rsid w:val="00771197"/>
    <w:rsid w:val="0077541F"/>
    <w:rsid w:val="0078095B"/>
    <w:rsid w:val="00790174"/>
    <w:rsid w:val="00795517"/>
    <w:rsid w:val="00796287"/>
    <w:rsid w:val="007968AD"/>
    <w:rsid w:val="007B1FE2"/>
    <w:rsid w:val="007C3E2F"/>
    <w:rsid w:val="007F431F"/>
    <w:rsid w:val="007F5AB4"/>
    <w:rsid w:val="0081029C"/>
    <w:rsid w:val="00811A4D"/>
    <w:rsid w:val="00836395"/>
    <w:rsid w:val="00840249"/>
    <w:rsid w:val="00844D77"/>
    <w:rsid w:val="00867F20"/>
    <w:rsid w:val="008933A2"/>
    <w:rsid w:val="00895103"/>
    <w:rsid w:val="00895583"/>
    <w:rsid w:val="008A2004"/>
    <w:rsid w:val="008B4443"/>
    <w:rsid w:val="008D3BDB"/>
    <w:rsid w:val="008F7BFC"/>
    <w:rsid w:val="00921F8B"/>
    <w:rsid w:val="00921FB5"/>
    <w:rsid w:val="00923762"/>
    <w:rsid w:val="00927EE8"/>
    <w:rsid w:val="00960669"/>
    <w:rsid w:val="00982EEE"/>
    <w:rsid w:val="009921A5"/>
    <w:rsid w:val="00996A29"/>
    <w:rsid w:val="009A01F5"/>
    <w:rsid w:val="009B3AB9"/>
    <w:rsid w:val="009B5DF3"/>
    <w:rsid w:val="009C1FC3"/>
    <w:rsid w:val="009D5504"/>
    <w:rsid w:val="00A12FB6"/>
    <w:rsid w:val="00A200EC"/>
    <w:rsid w:val="00A321DF"/>
    <w:rsid w:val="00A43320"/>
    <w:rsid w:val="00A70545"/>
    <w:rsid w:val="00AA5266"/>
    <w:rsid w:val="00AA5695"/>
    <w:rsid w:val="00AD23A2"/>
    <w:rsid w:val="00AD43E8"/>
    <w:rsid w:val="00AD7F07"/>
    <w:rsid w:val="00AF4DB7"/>
    <w:rsid w:val="00B070D4"/>
    <w:rsid w:val="00B07791"/>
    <w:rsid w:val="00B12308"/>
    <w:rsid w:val="00B16DFF"/>
    <w:rsid w:val="00B22792"/>
    <w:rsid w:val="00B301D1"/>
    <w:rsid w:val="00B34150"/>
    <w:rsid w:val="00B42620"/>
    <w:rsid w:val="00B43182"/>
    <w:rsid w:val="00B51168"/>
    <w:rsid w:val="00B52CCB"/>
    <w:rsid w:val="00B702AB"/>
    <w:rsid w:val="00BA7150"/>
    <w:rsid w:val="00BB799B"/>
    <w:rsid w:val="00BC5A32"/>
    <w:rsid w:val="00BD039D"/>
    <w:rsid w:val="00BF2E8B"/>
    <w:rsid w:val="00C00508"/>
    <w:rsid w:val="00C00529"/>
    <w:rsid w:val="00C030C5"/>
    <w:rsid w:val="00C2087F"/>
    <w:rsid w:val="00C211B3"/>
    <w:rsid w:val="00C33F50"/>
    <w:rsid w:val="00C44BF1"/>
    <w:rsid w:val="00C55FAB"/>
    <w:rsid w:val="00C63C1B"/>
    <w:rsid w:val="00C74878"/>
    <w:rsid w:val="00C7674F"/>
    <w:rsid w:val="00C82926"/>
    <w:rsid w:val="00C85DE3"/>
    <w:rsid w:val="00C977BC"/>
    <w:rsid w:val="00CC227B"/>
    <w:rsid w:val="00CC3552"/>
    <w:rsid w:val="00CD4539"/>
    <w:rsid w:val="00CE57CB"/>
    <w:rsid w:val="00D10286"/>
    <w:rsid w:val="00D36761"/>
    <w:rsid w:val="00D432F6"/>
    <w:rsid w:val="00D575A8"/>
    <w:rsid w:val="00D61BCB"/>
    <w:rsid w:val="00D776B6"/>
    <w:rsid w:val="00D812F0"/>
    <w:rsid w:val="00D839E2"/>
    <w:rsid w:val="00D91325"/>
    <w:rsid w:val="00DA0887"/>
    <w:rsid w:val="00DB199B"/>
    <w:rsid w:val="00DD1930"/>
    <w:rsid w:val="00DE2B4C"/>
    <w:rsid w:val="00DF5FE8"/>
    <w:rsid w:val="00E202C9"/>
    <w:rsid w:val="00E60822"/>
    <w:rsid w:val="00EB6335"/>
    <w:rsid w:val="00EC2B4D"/>
    <w:rsid w:val="00EF0E3B"/>
    <w:rsid w:val="00EF5100"/>
    <w:rsid w:val="00F06C41"/>
    <w:rsid w:val="00F13B48"/>
    <w:rsid w:val="00F2011E"/>
    <w:rsid w:val="00F307F7"/>
    <w:rsid w:val="00F40C65"/>
    <w:rsid w:val="00F70540"/>
    <w:rsid w:val="00F7600A"/>
    <w:rsid w:val="00FC4EA8"/>
    <w:rsid w:val="00FC6010"/>
    <w:rsid w:val="00FD4545"/>
    <w:rsid w:val="00FD744D"/>
    <w:rsid w:val="00FE7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765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87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65A"/>
  </w:style>
  <w:style w:type="paragraph" w:styleId="Footer">
    <w:name w:val="footer"/>
    <w:basedOn w:val="Normal"/>
    <w:link w:val="FooterChar"/>
    <w:uiPriority w:val="99"/>
    <w:unhideWhenUsed/>
    <w:rsid w:val="00687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65A"/>
  </w:style>
  <w:style w:type="paragraph" w:styleId="BalloonText">
    <w:name w:val="Balloon Text"/>
    <w:basedOn w:val="Normal"/>
    <w:link w:val="BalloonTextChar"/>
    <w:uiPriority w:val="99"/>
    <w:semiHidden/>
    <w:unhideWhenUsed/>
    <w:rsid w:val="00687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65A"/>
    <w:rPr>
      <w:rFonts w:ascii="Tahoma" w:hAnsi="Tahoma" w:cs="Tahoma"/>
      <w:sz w:val="16"/>
      <w:szCs w:val="16"/>
    </w:rPr>
  </w:style>
  <w:style w:type="character" w:styleId="Hyperlink">
    <w:name w:val="Hyperlink"/>
    <w:basedOn w:val="DefaultParagraphFont"/>
    <w:uiPriority w:val="99"/>
    <w:semiHidden/>
    <w:unhideWhenUsed/>
    <w:rsid w:val="00B51168"/>
    <w:rPr>
      <w:color w:val="0000FF" w:themeColor="hyperlink"/>
      <w:u w:val="single"/>
    </w:rPr>
  </w:style>
  <w:style w:type="paragraph" w:styleId="ListParagraph">
    <w:name w:val="List Paragraph"/>
    <w:basedOn w:val="Normal"/>
    <w:uiPriority w:val="34"/>
    <w:qFormat/>
    <w:rsid w:val="00B51168"/>
    <w:pPr>
      <w:ind w:left="720"/>
      <w:contextualSpacing/>
    </w:pPr>
  </w:style>
</w:styles>
</file>

<file path=word/webSettings.xml><?xml version="1.0" encoding="utf-8"?>
<w:webSettings xmlns:r="http://schemas.openxmlformats.org/officeDocument/2006/relationships" xmlns:w="http://schemas.openxmlformats.org/wordprocessingml/2006/main">
  <w:divs>
    <w:div w:id="987779916">
      <w:bodyDiv w:val="1"/>
      <w:marLeft w:val="0"/>
      <w:marRight w:val="0"/>
      <w:marTop w:val="0"/>
      <w:marBottom w:val="0"/>
      <w:divBdr>
        <w:top w:val="none" w:sz="0" w:space="0" w:color="auto"/>
        <w:left w:val="none" w:sz="0" w:space="0" w:color="auto"/>
        <w:bottom w:val="none" w:sz="0" w:space="0" w:color="auto"/>
        <w:right w:val="none" w:sz="0" w:space="0" w:color="auto"/>
      </w:divBdr>
    </w:div>
    <w:div w:id="170039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CB.GOV.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8F91D-FF11-4BCE-A468-E041A7B9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1641</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prolle</dc:creator>
  <cp:lastModifiedBy>dshepherd</cp:lastModifiedBy>
  <cp:revision>2</cp:revision>
  <dcterms:created xsi:type="dcterms:W3CDTF">2013-03-07T15:46:00Z</dcterms:created>
  <dcterms:modified xsi:type="dcterms:W3CDTF">2013-03-07T15:46:00Z</dcterms:modified>
</cp:coreProperties>
</file>